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59190" w14:textId="17B07F84" w:rsidR="00B13838" w:rsidRPr="00B13838" w:rsidRDefault="00B13838" w:rsidP="00B13838">
      <w:pPr>
        <w:tabs>
          <w:tab w:val="left" w:pos="8931"/>
          <w:tab w:val="left" w:pos="9072"/>
        </w:tabs>
        <w:ind w:left="6618" w:firstLine="4902"/>
        <w:rPr>
          <w:rFonts w:ascii="Verdana" w:hAnsi="Verdana" w:cs="Arial"/>
          <w:sz w:val="20"/>
          <w:szCs w:val="20"/>
        </w:rPr>
      </w:pPr>
    </w:p>
    <w:p w14:paraId="03A13736" w14:textId="5ACFC7F7" w:rsidR="00B13838" w:rsidRDefault="00B13838" w:rsidP="00B13838">
      <w:pPr>
        <w:tabs>
          <w:tab w:val="left" w:pos="8931"/>
          <w:tab w:val="left" w:pos="9072"/>
        </w:tabs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70373528" wp14:editId="2BAB4AB0">
            <wp:extent cx="1676400" cy="285750"/>
            <wp:effectExtent l="0" t="0" r="0" b="0"/>
            <wp:docPr id="2" name="Picture 2" descr="C:\Users\alewis\Desktop\Untitled-3.e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alewis\Desktop\Untitled-3.emf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8D37C3" w14:textId="5DD59240" w:rsidR="00FF513F" w:rsidRDefault="006324AC" w:rsidP="00800743">
      <w:pPr>
        <w:tabs>
          <w:tab w:val="left" w:pos="8931"/>
          <w:tab w:val="left" w:pos="9072"/>
        </w:tabs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Ri</w:t>
      </w:r>
      <w:r w:rsidR="00036DDA">
        <w:rPr>
          <w:rFonts w:ascii="Verdana" w:hAnsi="Verdana" w:cs="Arial"/>
          <w:b/>
          <w:bCs/>
          <w:sz w:val="20"/>
          <w:szCs w:val="20"/>
        </w:rPr>
        <w:t xml:space="preserve"> Freer Prize Fellowships</w:t>
      </w:r>
    </w:p>
    <w:p w14:paraId="02C6E291" w14:textId="22EE7ABE" w:rsidR="00036DDA" w:rsidRDefault="00036DDA" w:rsidP="00800743">
      <w:pPr>
        <w:tabs>
          <w:tab w:val="left" w:pos="8931"/>
          <w:tab w:val="left" w:pos="9072"/>
        </w:tabs>
        <w:jc w:val="center"/>
        <w:rPr>
          <w:rFonts w:ascii="Verdana" w:hAnsi="Verdana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216"/>
      </w:tblGrid>
      <w:tr w:rsidR="00036DDA" w14:paraId="2FA30E47" w14:textId="77777777" w:rsidTr="00003C52">
        <w:tc>
          <w:tcPr>
            <w:tcW w:w="9771" w:type="dxa"/>
            <w:gridSpan w:val="2"/>
          </w:tcPr>
          <w:p w14:paraId="392B422E" w14:textId="77777777" w:rsidR="00036DDA" w:rsidRDefault="00036DDA" w:rsidP="00036DDA">
            <w:pPr>
              <w:tabs>
                <w:tab w:val="left" w:pos="8931"/>
                <w:tab w:val="left" w:pos="9072"/>
              </w:tabs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6CA7E8DF" w14:textId="70C0B2F0" w:rsidR="00036DDA" w:rsidRDefault="00036DDA" w:rsidP="00036DDA">
            <w:pPr>
              <w:tabs>
                <w:tab w:val="left" w:pos="8931"/>
                <w:tab w:val="left" w:pos="9072"/>
              </w:tabs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Criteria for </w:t>
            </w:r>
            <w:r w:rsidR="0085769A">
              <w:rPr>
                <w:rFonts w:ascii="Verdana" w:hAnsi="Verdana"/>
                <w:b/>
                <w:bCs/>
                <w:sz w:val="20"/>
                <w:szCs w:val="20"/>
              </w:rPr>
              <w:t>A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ssessment</w:t>
            </w:r>
          </w:p>
          <w:p w14:paraId="2B9DA7FC" w14:textId="77777777" w:rsidR="002634A9" w:rsidRDefault="002634A9" w:rsidP="00036DDA">
            <w:pPr>
              <w:tabs>
                <w:tab w:val="left" w:pos="8931"/>
                <w:tab w:val="left" w:pos="9072"/>
              </w:tabs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EA8C8BA" w14:textId="73728F76" w:rsidR="00276C18" w:rsidRPr="00276C18" w:rsidRDefault="002634A9" w:rsidP="00276C18">
            <w:pPr>
              <w:pStyle w:val="ListParagraph"/>
              <w:numPr>
                <w:ilvl w:val="0"/>
                <w:numId w:val="13"/>
              </w:numPr>
              <w:tabs>
                <w:tab w:val="left" w:pos="8931"/>
                <w:tab w:val="left" w:pos="9072"/>
              </w:tabs>
              <w:rPr>
                <w:rFonts w:ascii="Verdana" w:hAnsi="Verdana"/>
                <w:sz w:val="20"/>
                <w:szCs w:val="20"/>
              </w:rPr>
            </w:pPr>
            <w:r w:rsidRPr="00276C18">
              <w:rPr>
                <w:rFonts w:ascii="Verdana" w:hAnsi="Verdana"/>
                <w:sz w:val="20"/>
                <w:szCs w:val="20"/>
              </w:rPr>
              <w:t>Each section carries equal weight and is ranked out of a maximum of 5 points.</w:t>
            </w:r>
          </w:p>
          <w:p w14:paraId="1BF7C368" w14:textId="087BDD05" w:rsidR="00276C18" w:rsidRPr="00276C18" w:rsidRDefault="00276C18" w:rsidP="00276C18">
            <w:pPr>
              <w:pStyle w:val="ListParagraph"/>
              <w:numPr>
                <w:ilvl w:val="0"/>
                <w:numId w:val="13"/>
              </w:numPr>
              <w:tabs>
                <w:tab w:val="left" w:pos="8931"/>
                <w:tab w:val="left" w:pos="9072"/>
              </w:tabs>
              <w:rPr>
                <w:rFonts w:ascii="Verdana" w:hAnsi="Verdana"/>
                <w:sz w:val="20"/>
                <w:szCs w:val="20"/>
              </w:rPr>
            </w:pPr>
            <w:r w:rsidRPr="00276C18">
              <w:rPr>
                <w:rFonts w:ascii="Verdana" w:hAnsi="Verdana"/>
                <w:sz w:val="20"/>
                <w:szCs w:val="20"/>
              </w:rPr>
              <w:t>The judges</w:t>
            </w:r>
            <w:r w:rsidR="00FE5DD5">
              <w:rPr>
                <w:rFonts w:ascii="Verdana" w:hAnsi="Verdana"/>
                <w:sz w:val="20"/>
                <w:szCs w:val="20"/>
              </w:rPr>
              <w:t>’</w:t>
            </w:r>
            <w:r w:rsidRPr="00276C18">
              <w:rPr>
                <w:rFonts w:ascii="Verdana" w:hAnsi="Verdana"/>
                <w:sz w:val="20"/>
                <w:szCs w:val="20"/>
              </w:rPr>
              <w:t xml:space="preserve"> decision is final.</w:t>
            </w:r>
          </w:p>
          <w:p w14:paraId="7B0FFE7D" w14:textId="77777777" w:rsidR="00036DDA" w:rsidRDefault="00036DDA" w:rsidP="00800743">
            <w:pPr>
              <w:tabs>
                <w:tab w:val="left" w:pos="8931"/>
                <w:tab w:val="left" w:pos="9072"/>
              </w:tabs>
              <w:jc w:val="center"/>
              <w:rPr>
                <w:rFonts w:ascii="Verdana" w:hAnsi="Verdana" w:cs="Times New Roman (Body CS)"/>
                <w:b/>
                <w:bCs/>
                <w:sz w:val="20"/>
                <w:szCs w:val="20"/>
              </w:rPr>
            </w:pPr>
          </w:p>
        </w:tc>
      </w:tr>
      <w:tr w:rsidR="00C22237" w14:paraId="4FFDB2DB" w14:textId="77777777" w:rsidTr="006C7FA5">
        <w:tc>
          <w:tcPr>
            <w:tcW w:w="1555" w:type="dxa"/>
          </w:tcPr>
          <w:p w14:paraId="1E74BE57" w14:textId="77777777" w:rsidR="00C22237" w:rsidRDefault="00C22237" w:rsidP="00800743">
            <w:pPr>
              <w:tabs>
                <w:tab w:val="left" w:pos="8931"/>
                <w:tab w:val="left" w:pos="9072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663256A" w14:textId="338CE452" w:rsidR="00C22237" w:rsidRDefault="004F5182" w:rsidP="006C7FA5">
            <w:pPr>
              <w:tabs>
                <w:tab w:val="left" w:pos="8931"/>
                <w:tab w:val="left" w:pos="9072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="00C22237">
              <w:rPr>
                <w:rFonts w:ascii="Verdana" w:hAnsi="Verdana"/>
                <w:sz w:val="20"/>
                <w:szCs w:val="20"/>
              </w:rPr>
              <w:t xml:space="preserve">otential to </w:t>
            </w:r>
            <w:r w:rsidR="00C22237" w:rsidRPr="00B13838">
              <w:rPr>
                <w:rFonts w:ascii="Verdana" w:hAnsi="Verdana"/>
                <w:sz w:val="20"/>
                <w:szCs w:val="20"/>
              </w:rPr>
              <w:t>“make a difference in the world”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5D491F8A" w14:textId="20054CE1" w:rsidR="00C22237" w:rsidRDefault="00C22237" w:rsidP="00800743">
            <w:pPr>
              <w:tabs>
                <w:tab w:val="left" w:pos="8931"/>
                <w:tab w:val="left" w:pos="9072"/>
              </w:tabs>
              <w:jc w:val="center"/>
              <w:rPr>
                <w:rFonts w:ascii="Verdana" w:hAnsi="Verdana" w:cs="Times New Roman (Body CS)"/>
                <w:b/>
                <w:bCs/>
                <w:sz w:val="20"/>
                <w:szCs w:val="20"/>
              </w:rPr>
            </w:pPr>
          </w:p>
        </w:tc>
        <w:tc>
          <w:tcPr>
            <w:tcW w:w="8216" w:type="dxa"/>
          </w:tcPr>
          <w:p w14:paraId="49F4C522" w14:textId="77777777" w:rsidR="006C7FA5" w:rsidRDefault="006C7FA5" w:rsidP="00AB5FEF">
            <w:pPr>
              <w:tabs>
                <w:tab w:val="left" w:pos="8931"/>
                <w:tab w:val="left" w:pos="9072"/>
              </w:tabs>
              <w:rPr>
                <w:rFonts w:ascii="Verdana" w:hAnsi="Verdana"/>
                <w:sz w:val="20"/>
                <w:szCs w:val="20"/>
              </w:rPr>
            </w:pPr>
          </w:p>
          <w:p w14:paraId="2F4AFADC" w14:textId="7BADC075" w:rsidR="00AB5FEF" w:rsidRDefault="00AB5FEF" w:rsidP="00AB5FEF">
            <w:pPr>
              <w:tabs>
                <w:tab w:val="left" w:pos="8931"/>
                <w:tab w:val="left" w:pos="9072"/>
              </w:tabs>
              <w:rPr>
                <w:rFonts w:ascii="Verdana" w:hAnsi="Verdana" w:cs="Times New Roman (Body CS)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Potential to </w:t>
            </w:r>
            <w:r w:rsidRPr="00B13838">
              <w:rPr>
                <w:rFonts w:ascii="Verdana" w:hAnsi="Verdana"/>
                <w:sz w:val="20"/>
                <w:szCs w:val="20"/>
              </w:rPr>
              <w:t>“make a difference in the world”</w:t>
            </w:r>
            <w:r>
              <w:rPr>
                <w:rFonts w:ascii="Verdana" w:hAnsi="Verdana"/>
                <w:sz w:val="20"/>
                <w:szCs w:val="20"/>
              </w:rPr>
              <w:t xml:space="preserve"> is</w:t>
            </w:r>
            <w:r w:rsidR="00BC6FF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46D6C" w:rsidRPr="00AB5FEF">
              <w:rPr>
                <w:rFonts w:ascii="Verdana" w:hAnsi="Verdana" w:cs="Times New Roman (Body CS)"/>
                <w:sz w:val="20"/>
                <w:szCs w:val="20"/>
              </w:rPr>
              <w:t xml:space="preserve">broadly construed </w:t>
            </w:r>
            <w:r w:rsidR="00E6351A">
              <w:rPr>
                <w:rFonts w:ascii="Verdana" w:hAnsi="Verdana" w:cs="Times New Roman (Body CS)"/>
                <w:sz w:val="20"/>
                <w:szCs w:val="20"/>
              </w:rPr>
              <w:t xml:space="preserve">through </w:t>
            </w:r>
            <w:r w:rsidRPr="00AB5FEF">
              <w:rPr>
                <w:rFonts w:ascii="Verdana" w:hAnsi="Verdana" w:cs="Times New Roman (Body CS)"/>
                <w:sz w:val="20"/>
                <w:szCs w:val="20"/>
              </w:rPr>
              <w:t xml:space="preserve">the </w:t>
            </w:r>
            <w:r w:rsidR="00BC6FF1">
              <w:rPr>
                <w:rFonts w:ascii="Verdana" w:hAnsi="Verdana" w:cs="Times New Roman (Body CS)"/>
                <w:sz w:val="20"/>
                <w:szCs w:val="20"/>
              </w:rPr>
              <w:t>potential</w:t>
            </w:r>
            <w:r w:rsidRPr="00AB5FEF">
              <w:rPr>
                <w:rFonts w:ascii="Verdana" w:hAnsi="Verdana" w:cs="Times New Roman (Body CS)"/>
                <w:sz w:val="20"/>
                <w:szCs w:val="20"/>
              </w:rPr>
              <w:t xml:space="preserve"> of rigorous and scholarly history or heritage conservation to provide insights into</w:t>
            </w:r>
            <w:r>
              <w:rPr>
                <w:rFonts w:ascii="Verdana" w:hAnsi="Verdana" w:cs="Times New Roman (Body CS)"/>
                <w:sz w:val="20"/>
                <w:szCs w:val="20"/>
              </w:rPr>
              <w:t xml:space="preserve"> </w:t>
            </w:r>
            <w:r w:rsidRPr="00AB5FEF">
              <w:rPr>
                <w:rFonts w:ascii="Verdana" w:hAnsi="Verdana" w:cs="Times New Roman (Body CS)"/>
                <w:sz w:val="20"/>
                <w:szCs w:val="20"/>
              </w:rPr>
              <w:t>present day challenges</w:t>
            </w:r>
            <w:r>
              <w:rPr>
                <w:rFonts w:ascii="Verdana" w:hAnsi="Verdana" w:cs="Times New Roman (Body CS)"/>
                <w:sz w:val="20"/>
                <w:szCs w:val="20"/>
              </w:rPr>
              <w:t xml:space="preserve"> and to </w:t>
            </w:r>
            <w:r w:rsidR="00E913D4">
              <w:rPr>
                <w:rFonts w:ascii="Verdana" w:hAnsi="Verdana" w:cs="Times New Roman (Body CS)"/>
                <w:sz w:val="20"/>
                <w:szCs w:val="20"/>
              </w:rPr>
              <w:t>contribute to shaping</w:t>
            </w:r>
            <w:r w:rsidR="00BC6FF1">
              <w:rPr>
                <w:rFonts w:ascii="Verdana" w:hAnsi="Verdana" w:cs="Times New Roman (Body CS)"/>
                <w:sz w:val="20"/>
                <w:szCs w:val="20"/>
              </w:rPr>
              <w:t xml:space="preserve"> equitable and sustainable</w:t>
            </w:r>
            <w:r w:rsidRPr="00AB5FEF">
              <w:rPr>
                <w:rFonts w:ascii="Verdana" w:hAnsi="Verdana" w:cs="Times New Roman (Body CS)"/>
                <w:sz w:val="20"/>
                <w:szCs w:val="20"/>
              </w:rPr>
              <w:t xml:space="preserve"> futures</w:t>
            </w:r>
            <w:r>
              <w:rPr>
                <w:rFonts w:ascii="Verdana" w:hAnsi="Verdana" w:cs="Times New Roman (Body CS)"/>
                <w:sz w:val="20"/>
                <w:szCs w:val="20"/>
              </w:rPr>
              <w:t xml:space="preserve">. These might be challenges like climate change, </w:t>
            </w:r>
            <w:proofErr w:type="gramStart"/>
            <w:r w:rsidR="00945668">
              <w:rPr>
                <w:rFonts w:ascii="Verdana" w:hAnsi="Verdana" w:cs="Times New Roman (Body CS)"/>
                <w:sz w:val="20"/>
                <w:szCs w:val="20"/>
              </w:rPr>
              <w:t>policy-making</w:t>
            </w:r>
            <w:proofErr w:type="gramEnd"/>
            <w:r w:rsidR="00945668">
              <w:rPr>
                <w:rFonts w:ascii="Verdana" w:hAnsi="Verdana" w:cs="Times New Roman (Body CS)"/>
                <w:sz w:val="20"/>
                <w:szCs w:val="20"/>
              </w:rPr>
              <w:t xml:space="preserve">, </w:t>
            </w:r>
            <w:r>
              <w:rPr>
                <w:rFonts w:ascii="Verdana" w:hAnsi="Verdana" w:cs="Times New Roman (Body CS)"/>
                <w:sz w:val="20"/>
                <w:szCs w:val="20"/>
              </w:rPr>
              <w:t>marginalised histories</w:t>
            </w:r>
            <w:r w:rsidR="00BC6FF1">
              <w:rPr>
                <w:rFonts w:ascii="Verdana" w:hAnsi="Verdana" w:cs="Times New Roman (Body CS)"/>
                <w:sz w:val="20"/>
                <w:szCs w:val="20"/>
              </w:rPr>
              <w:t xml:space="preserve"> or destruction of cultural heritage</w:t>
            </w:r>
            <w:r>
              <w:rPr>
                <w:rFonts w:ascii="Verdana" w:hAnsi="Verdana" w:cs="Times New Roman (Body CS)"/>
                <w:sz w:val="20"/>
                <w:szCs w:val="20"/>
              </w:rPr>
              <w:t xml:space="preserve">. </w:t>
            </w:r>
            <w:r w:rsidR="00672C81">
              <w:rPr>
                <w:rFonts w:ascii="Verdana" w:hAnsi="Verdana" w:cs="Times New Roman (Body CS)"/>
                <w:sz w:val="20"/>
                <w:szCs w:val="20"/>
              </w:rPr>
              <w:t xml:space="preserve">The requirement is not for a specific area, but rather for applicants to have thought about how to </w:t>
            </w:r>
            <w:r w:rsidR="006A107E">
              <w:rPr>
                <w:rFonts w:ascii="Verdana" w:hAnsi="Verdana" w:cs="Times New Roman (Body CS)"/>
                <w:sz w:val="20"/>
                <w:szCs w:val="20"/>
              </w:rPr>
              <w:t>convey the importance of</w:t>
            </w:r>
            <w:r w:rsidR="00672C81">
              <w:rPr>
                <w:rFonts w:ascii="Verdana" w:hAnsi="Verdana" w:cs="Times New Roman (Body CS)"/>
                <w:sz w:val="20"/>
                <w:szCs w:val="20"/>
              </w:rPr>
              <w:t xml:space="preserve"> their findings and</w:t>
            </w:r>
            <w:r w:rsidR="006A107E">
              <w:rPr>
                <w:rFonts w:ascii="Verdana" w:hAnsi="Verdana" w:cs="Times New Roman (Body CS)"/>
                <w:sz w:val="20"/>
                <w:szCs w:val="20"/>
              </w:rPr>
              <w:t xml:space="preserve"> subject area to a general interest audience</w:t>
            </w:r>
            <w:r w:rsidR="00672C81">
              <w:rPr>
                <w:rFonts w:ascii="Verdana" w:hAnsi="Verdana" w:cs="Times New Roman (Body CS)"/>
                <w:sz w:val="20"/>
                <w:szCs w:val="20"/>
              </w:rPr>
              <w:t xml:space="preserve">. </w:t>
            </w:r>
            <w:r>
              <w:rPr>
                <w:rFonts w:ascii="Verdana" w:hAnsi="Verdana" w:cs="Times New Roman (Body CS)"/>
                <w:sz w:val="20"/>
                <w:szCs w:val="20"/>
              </w:rPr>
              <w:t xml:space="preserve">The Ri has significant global platforms for raising awareness and public understanding. Applications </w:t>
            </w:r>
            <w:r w:rsidR="006B040F">
              <w:rPr>
                <w:rFonts w:ascii="Verdana" w:hAnsi="Verdana" w:cs="Times New Roman (Body CS)"/>
                <w:sz w:val="20"/>
                <w:szCs w:val="20"/>
              </w:rPr>
              <w:t>with the potential to</w:t>
            </w:r>
            <w:r>
              <w:rPr>
                <w:rFonts w:ascii="Verdana" w:hAnsi="Verdana" w:cs="Times New Roman (Body CS)"/>
                <w:sz w:val="20"/>
                <w:szCs w:val="20"/>
              </w:rPr>
              <w:t xml:space="preserve"> make the most of th</w:t>
            </w:r>
            <w:r w:rsidR="00BC6FF1">
              <w:rPr>
                <w:rFonts w:ascii="Verdana" w:hAnsi="Verdana" w:cs="Times New Roman (Body CS)"/>
                <w:sz w:val="20"/>
                <w:szCs w:val="20"/>
              </w:rPr>
              <w:t xml:space="preserve">is opportunity will score highly in this section. </w:t>
            </w:r>
          </w:p>
          <w:p w14:paraId="594BE785" w14:textId="46A12666" w:rsidR="006C7FA5" w:rsidRPr="00BC6FF1" w:rsidRDefault="006C7FA5" w:rsidP="00AB5FEF">
            <w:pPr>
              <w:tabs>
                <w:tab w:val="left" w:pos="8931"/>
                <w:tab w:val="lef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036DDA" w14:paraId="7B66DDEE" w14:textId="77777777" w:rsidTr="006C7FA5">
        <w:tc>
          <w:tcPr>
            <w:tcW w:w="1555" w:type="dxa"/>
          </w:tcPr>
          <w:p w14:paraId="6CCCAE69" w14:textId="77777777" w:rsidR="00036DDA" w:rsidRDefault="00036DDA" w:rsidP="00800743">
            <w:pPr>
              <w:tabs>
                <w:tab w:val="left" w:pos="8931"/>
                <w:tab w:val="left" w:pos="9072"/>
              </w:tabs>
              <w:jc w:val="center"/>
              <w:rPr>
                <w:rFonts w:ascii="Verdana" w:hAnsi="Verdana" w:cs="Times New Roman (Body CS)"/>
                <w:b/>
                <w:bCs/>
                <w:sz w:val="20"/>
                <w:szCs w:val="20"/>
              </w:rPr>
            </w:pPr>
          </w:p>
          <w:p w14:paraId="6F620492" w14:textId="45D6C3B5" w:rsidR="00036DDA" w:rsidRPr="00C22237" w:rsidRDefault="006B040F" w:rsidP="00800743">
            <w:pPr>
              <w:tabs>
                <w:tab w:val="left" w:pos="8931"/>
                <w:tab w:val="left" w:pos="9072"/>
              </w:tabs>
              <w:jc w:val="center"/>
              <w:rPr>
                <w:rFonts w:ascii="Verdana" w:hAnsi="Verdana" w:cs="Times New Roman (Body CS)"/>
                <w:sz w:val="20"/>
                <w:szCs w:val="20"/>
              </w:rPr>
            </w:pPr>
            <w:r>
              <w:rPr>
                <w:rFonts w:ascii="Verdana" w:hAnsi="Verdana" w:cs="Times New Roman (Body CS)"/>
                <w:sz w:val="20"/>
                <w:szCs w:val="20"/>
              </w:rPr>
              <w:t>I</w:t>
            </w:r>
            <w:r w:rsidR="00036DDA" w:rsidRPr="00C22237">
              <w:rPr>
                <w:rFonts w:ascii="Verdana" w:hAnsi="Verdana" w:cs="Times New Roman (Body CS)"/>
                <w:sz w:val="20"/>
                <w:szCs w:val="20"/>
              </w:rPr>
              <w:t>nherent interest of subject</w:t>
            </w:r>
            <w:r>
              <w:rPr>
                <w:rFonts w:ascii="Verdana" w:hAnsi="Verdana" w:cs="Times New Roman (Body CS)"/>
                <w:sz w:val="20"/>
                <w:szCs w:val="20"/>
              </w:rPr>
              <w:t>.</w:t>
            </w:r>
          </w:p>
          <w:p w14:paraId="1D677FDA" w14:textId="053C24F2" w:rsidR="00036DDA" w:rsidRDefault="00036DDA" w:rsidP="00800743">
            <w:pPr>
              <w:tabs>
                <w:tab w:val="left" w:pos="8931"/>
                <w:tab w:val="left" w:pos="9072"/>
              </w:tabs>
              <w:jc w:val="center"/>
              <w:rPr>
                <w:rFonts w:ascii="Verdana" w:hAnsi="Verdana" w:cs="Times New Roman (Body CS)"/>
                <w:b/>
                <w:bCs/>
                <w:sz w:val="20"/>
                <w:szCs w:val="20"/>
              </w:rPr>
            </w:pPr>
          </w:p>
        </w:tc>
        <w:tc>
          <w:tcPr>
            <w:tcW w:w="8216" w:type="dxa"/>
          </w:tcPr>
          <w:p w14:paraId="0996E3C9" w14:textId="77777777" w:rsidR="006C7FA5" w:rsidRDefault="006C7FA5" w:rsidP="00943E5B">
            <w:pPr>
              <w:rPr>
                <w:rFonts w:ascii="Verdana" w:hAnsi="Verdana" w:cs="Times New Roman (Body CS)"/>
                <w:sz w:val="20"/>
                <w:szCs w:val="20"/>
              </w:rPr>
            </w:pPr>
          </w:p>
          <w:p w14:paraId="1F5979C4" w14:textId="258F6553" w:rsidR="00036DDA" w:rsidRDefault="00AB4EA5" w:rsidP="00943E5B">
            <w:pPr>
              <w:rPr>
                <w:rFonts w:ascii="Verdana" w:hAnsi="Verdana" w:cs="Times New Roman (Body CS)"/>
                <w:sz w:val="20"/>
                <w:szCs w:val="20"/>
              </w:rPr>
            </w:pPr>
            <w:r>
              <w:rPr>
                <w:rFonts w:ascii="Verdana" w:hAnsi="Verdana" w:cs="Times New Roman (Body CS)"/>
                <w:sz w:val="20"/>
                <w:szCs w:val="20"/>
              </w:rPr>
              <w:t>T</w:t>
            </w:r>
            <w:r w:rsidR="006B040F" w:rsidRPr="006B040F">
              <w:rPr>
                <w:rFonts w:ascii="Verdana" w:hAnsi="Verdana" w:cs="Times New Roman (Body CS)"/>
                <w:sz w:val="20"/>
                <w:szCs w:val="20"/>
              </w:rPr>
              <w:t xml:space="preserve">hesis summary </w:t>
            </w:r>
            <w:r>
              <w:rPr>
                <w:rFonts w:ascii="Verdana" w:hAnsi="Verdana" w:cs="Times New Roman (Body CS)"/>
                <w:sz w:val="20"/>
                <w:szCs w:val="20"/>
              </w:rPr>
              <w:t>is the</w:t>
            </w:r>
            <w:r w:rsidR="006B040F" w:rsidRPr="006B040F">
              <w:rPr>
                <w:rFonts w:ascii="Verdana" w:hAnsi="Verdana" w:cs="Times New Roman (Body CS)"/>
                <w:sz w:val="20"/>
                <w:szCs w:val="20"/>
              </w:rPr>
              <w:t xml:space="preserve"> principal application material relevant to this section. </w:t>
            </w:r>
            <w:r>
              <w:rPr>
                <w:rFonts w:ascii="Verdana" w:hAnsi="Verdana" w:cs="Times New Roman (Body CS)"/>
                <w:sz w:val="20"/>
                <w:szCs w:val="20"/>
              </w:rPr>
              <w:t>Applications which describe doctoral research</w:t>
            </w:r>
            <w:r w:rsidR="003565BF">
              <w:rPr>
                <w:rFonts w:ascii="Verdana" w:hAnsi="Verdana" w:cs="Times New Roman (Body CS)"/>
                <w:sz w:val="20"/>
                <w:szCs w:val="20"/>
              </w:rPr>
              <w:t xml:space="preserve"> of high interest and originality</w:t>
            </w:r>
            <w:r>
              <w:rPr>
                <w:rFonts w:ascii="Verdana" w:hAnsi="Verdana" w:cs="Times New Roman (Body CS)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Verdana" w:hAnsi="Verdana" w:cs="Times New Roman (Body CS)"/>
                <w:sz w:val="20"/>
                <w:szCs w:val="20"/>
              </w:rPr>
              <w:t>e.g.</w:t>
            </w:r>
            <w:proofErr w:type="gramEnd"/>
            <w:r>
              <w:rPr>
                <w:rFonts w:ascii="Verdana" w:hAnsi="Verdana" w:cs="Times New Roman (Body CS)"/>
                <w:sz w:val="20"/>
                <w:szCs w:val="20"/>
              </w:rPr>
              <w:t xml:space="preserve"> in an under</w:t>
            </w:r>
            <w:r w:rsidR="006A107E">
              <w:rPr>
                <w:rFonts w:ascii="Verdana" w:hAnsi="Verdana" w:cs="Times New Roman (Body CS)"/>
                <w:sz w:val="20"/>
                <w:szCs w:val="20"/>
              </w:rPr>
              <w:t>-</w:t>
            </w:r>
            <w:r>
              <w:rPr>
                <w:rFonts w:ascii="Verdana" w:hAnsi="Verdana" w:cs="Times New Roman (Body CS)"/>
                <w:sz w:val="20"/>
                <w:szCs w:val="20"/>
              </w:rPr>
              <w:t xml:space="preserve">researched area or </w:t>
            </w:r>
            <w:r w:rsidR="003565BF">
              <w:rPr>
                <w:rFonts w:ascii="Verdana" w:hAnsi="Verdana" w:cs="Times New Roman (Body CS)"/>
                <w:sz w:val="20"/>
                <w:szCs w:val="20"/>
              </w:rPr>
              <w:t xml:space="preserve">making use of </w:t>
            </w:r>
            <w:r>
              <w:rPr>
                <w:rFonts w:ascii="Verdana" w:hAnsi="Verdana" w:cs="Times New Roman (Body CS)"/>
                <w:sz w:val="20"/>
                <w:szCs w:val="20"/>
              </w:rPr>
              <w:t>an innovative approach, will score highly in this section.</w:t>
            </w:r>
          </w:p>
          <w:p w14:paraId="26A0A1AB" w14:textId="7CAD4C6A" w:rsidR="006C7FA5" w:rsidRPr="006B040F" w:rsidRDefault="006C7FA5" w:rsidP="00943E5B">
            <w:pPr>
              <w:rPr>
                <w:rFonts w:ascii="Verdana" w:hAnsi="Verdana" w:cs="Times New Roman (Body CS)"/>
                <w:sz w:val="20"/>
                <w:szCs w:val="20"/>
              </w:rPr>
            </w:pPr>
          </w:p>
        </w:tc>
      </w:tr>
      <w:tr w:rsidR="00AB4EA5" w14:paraId="77519AAE" w14:textId="77777777" w:rsidTr="006C7FA5">
        <w:tc>
          <w:tcPr>
            <w:tcW w:w="1555" w:type="dxa"/>
          </w:tcPr>
          <w:p w14:paraId="1EF2AC75" w14:textId="77777777" w:rsidR="00AB4EA5" w:rsidRPr="00C22237" w:rsidRDefault="00AB4EA5" w:rsidP="00AB4EA5">
            <w:pPr>
              <w:tabs>
                <w:tab w:val="left" w:pos="8931"/>
                <w:tab w:val="left" w:pos="9072"/>
              </w:tabs>
              <w:jc w:val="center"/>
              <w:rPr>
                <w:rFonts w:ascii="Verdana" w:hAnsi="Verdana" w:cs="Times New Roman (Body CS)"/>
                <w:sz w:val="20"/>
                <w:szCs w:val="20"/>
              </w:rPr>
            </w:pPr>
          </w:p>
          <w:p w14:paraId="3E774732" w14:textId="544CEEAC" w:rsidR="00AB4EA5" w:rsidRPr="00C22237" w:rsidRDefault="005434D1" w:rsidP="00AB4EA5">
            <w:pPr>
              <w:tabs>
                <w:tab w:val="left" w:pos="8931"/>
                <w:tab w:val="left" w:pos="9072"/>
              </w:tabs>
              <w:jc w:val="center"/>
              <w:rPr>
                <w:rFonts w:ascii="Verdana" w:hAnsi="Verdana" w:cs="Times New Roman (Body CS)"/>
                <w:sz w:val="20"/>
                <w:szCs w:val="20"/>
              </w:rPr>
            </w:pPr>
            <w:r>
              <w:rPr>
                <w:rFonts w:ascii="Verdana" w:hAnsi="Verdana" w:cs="Times New Roman (Body CS)"/>
                <w:sz w:val="20"/>
                <w:szCs w:val="20"/>
              </w:rPr>
              <w:t>A</w:t>
            </w:r>
            <w:r w:rsidR="00AB4EA5">
              <w:rPr>
                <w:rFonts w:ascii="Verdana" w:hAnsi="Verdana" w:cs="Times New Roman (Body CS)"/>
                <w:sz w:val="20"/>
                <w:szCs w:val="20"/>
              </w:rPr>
              <w:t>cademic merit</w:t>
            </w:r>
            <w:r>
              <w:rPr>
                <w:rFonts w:ascii="Verdana" w:hAnsi="Verdana" w:cs="Times New Roman (Body CS)"/>
                <w:sz w:val="20"/>
                <w:szCs w:val="20"/>
              </w:rPr>
              <w:t>.</w:t>
            </w:r>
          </w:p>
          <w:p w14:paraId="345CF83C" w14:textId="5ECECC0F" w:rsidR="00AB4EA5" w:rsidRPr="00C22237" w:rsidRDefault="00AB4EA5" w:rsidP="00AB4EA5">
            <w:pPr>
              <w:tabs>
                <w:tab w:val="left" w:pos="8931"/>
                <w:tab w:val="left" w:pos="9072"/>
              </w:tabs>
              <w:jc w:val="center"/>
              <w:rPr>
                <w:rFonts w:ascii="Verdana" w:hAnsi="Verdana" w:cs="Times New Roman (Body CS)"/>
                <w:sz w:val="20"/>
                <w:szCs w:val="20"/>
              </w:rPr>
            </w:pPr>
          </w:p>
        </w:tc>
        <w:tc>
          <w:tcPr>
            <w:tcW w:w="8216" w:type="dxa"/>
          </w:tcPr>
          <w:p w14:paraId="5C1F00BB" w14:textId="77777777" w:rsidR="006C7FA5" w:rsidRDefault="006C7FA5" w:rsidP="00AB4EA5">
            <w:pPr>
              <w:tabs>
                <w:tab w:val="left" w:pos="8931"/>
                <w:tab w:val="left" w:pos="9072"/>
              </w:tabs>
              <w:rPr>
                <w:rFonts w:ascii="Verdana" w:hAnsi="Verdana" w:cs="Times New Roman (Body CS)"/>
                <w:sz w:val="20"/>
                <w:szCs w:val="20"/>
              </w:rPr>
            </w:pPr>
          </w:p>
          <w:p w14:paraId="429F7327" w14:textId="0D1FAE49" w:rsidR="00AB4EA5" w:rsidRDefault="00AB4EA5" w:rsidP="00AB4EA5">
            <w:pPr>
              <w:tabs>
                <w:tab w:val="left" w:pos="8931"/>
                <w:tab w:val="left" w:pos="9072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Times New Roman (Body CS)"/>
                <w:sz w:val="20"/>
                <w:szCs w:val="20"/>
              </w:rPr>
              <w:t>CV</w:t>
            </w:r>
            <w:r w:rsidRPr="006B040F">
              <w:rPr>
                <w:rFonts w:ascii="Verdana" w:hAnsi="Verdana" w:cs="Times New Roman (Body CS)"/>
                <w:sz w:val="20"/>
                <w:szCs w:val="20"/>
              </w:rPr>
              <w:t xml:space="preserve"> and references are the principal application materials relevant to this section. These materials should </w:t>
            </w:r>
            <w:r>
              <w:rPr>
                <w:rFonts w:ascii="Verdana" w:hAnsi="Verdana" w:cs="Times New Roman (Body CS)"/>
                <w:sz w:val="20"/>
                <w:szCs w:val="20"/>
              </w:rPr>
              <w:t>evidence</w:t>
            </w:r>
            <w:r w:rsidRPr="006B040F">
              <w:rPr>
                <w:rFonts w:ascii="Verdana" w:hAnsi="Verdana" w:cs="Times New Roman (Body CS)"/>
                <w:sz w:val="20"/>
                <w:szCs w:val="20"/>
              </w:rPr>
              <w:t xml:space="preserve"> the </w:t>
            </w:r>
            <w:r>
              <w:rPr>
                <w:rFonts w:ascii="Verdana" w:hAnsi="Verdana" w:cs="Times New Roman (Body CS)"/>
                <w:sz w:val="20"/>
                <w:szCs w:val="20"/>
              </w:rPr>
              <w:t xml:space="preserve">outstanding </w:t>
            </w:r>
            <w:r w:rsidRPr="006B040F">
              <w:rPr>
                <w:rFonts w:ascii="Verdana" w:hAnsi="Verdana"/>
                <w:sz w:val="20"/>
                <w:szCs w:val="20"/>
              </w:rPr>
              <w:t>academic merit of the applicant’s doctoral research</w:t>
            </w:r>
            <w:r w:rsidR="0009786B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335D8F" w:rsidRPr="006B040F">
              <w:rPr>
                <w:rFonts w:ascii="Verdana" w:hAnsi="Verdana"/>
                <w:sz w:val="20"/>
                <w:szCs w:val="20"/>
              </w:rPr>
              <w:t xml:space="preserve">as well as </w:t>
            </w:r>
            <w:r w:rsidR="00335D8F">
              <w:rPr>
                <w:rFonts w:ascii="Verdana" w:hAnsi="Verdana"/>
                <w:sz w:val="20"/>
                <w:szCs w:val="20"/>
              </w:rPr>
              <w:t>it</w:t>
            </w:r>
            <w:r w:rsidR="00335D8F" w:rsidRPr="006B040F">
              <w:rPr>
                <w:rFonts w:ascii="Verdana" w:hAnsi="Verdana"/>
                <w:sz w:val="20"/>
                <w:szCs w:val="20"/>
              </w:rPr>
              <w:t xml:space="preserve">s </w:t>
            </w:r>
            <w:r w:rsidR="00335D8F">
              <w:rPr>
                <w:rFonts w:ascii="Verdana" w:hAnsi="Verdana"/>
                <w:sz w:val="20"/>
                <w:szCs w:val="20"/>
              </w:rPr>
              <w:t>potential</w:t>
            </w:r>
            <w:r w:rsidR="00335D8F" w:rsidRPr="006B040F">
              <w:rPr>
                <w:rFonts w:ascii="Verdana" w:hAnsi="Verdana"/>
                <w:sz w:val="20"/>
                <w:szCs w:val="20"/>
              </w:rPr>
              <w:t xml:space="preserve"> to make a significant contribution to the history of science; history of the Royal </w:t>
            </w:r>
            <w:r w:rsidR="0012640D">
              <w:rPr>
                <w:rFonts w:ascii="Verdana" w:hAnsi="Verdana"/>
                <w:sz w:val="20"/>
                <w:szCs w:val="20"/>
              </w:rPr>
              <w:t>I</w:t>
            </w:r>
            <w:r w:rsidR="00335D8F" w:rsidRPr="006B040F">
              <w:rPr>
                <w:rFonts w:ascii="Verdana" w:hAnsi="Verdana"/>
                <w:sz w:val="20"/>
                <w:szCs w:val="20"/>
              </w:rPr>
              <w:t>nstitution; or heritage conservation.</w:t>
            </w:r>
            <w:r w:rsidR="00335D8F">
              <w:rPr>
                <w:rFonts w:ascii="Verdana" w:hAnsi="Verdana"/>
                <w:sz w:val="20"/>
                <w:szCs w:val="20"/>
              </w:rPr>
              <w:t xml:space="preserve"> This </w:t>
            </w:r>
            <w:r w:rsidR="000821F2">
              <w:rPr>
                <w:rFonts w:ascii="Verdana" w:hAnsi="Verdana"/>
                <w:sz w:val="20"/>
                <w:szCs w:val="20"/>
              </w:rPr>
              <w:t>might</w:t>
            </w:r>
            <w:r w:rsidR="00335D8F">
              <w:rPr>
                <w:rFonts w:ascii="Verdana" w:hAnsi="Verdana"/>
                <w:sz w:val="20"/>
                <w:szCs w:val="20"/>
              </w:rPr>
              <w:t xml:space="preserve"> be</w:t>
            </w:r>
            <w:r w:rsidR="0009786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821F2">
              <w:rPr>
                <w:rFonts w:ascii="Verdana" w:hAnsi="Verdana"/>
                <w:sz w:val="20"/>
                <w:szCs w:val="20"/>
              </w:rPr>
              <w:t xml:space="preserve">demonstrated </w:t>
            </w:r>
            <w:r w:rsidR="006A107E">
              <w:rPr>
                <w:rFonts w:ascii="Verdana" w:hAnsi="Verdana"/>
                <w:sz w:val="20"/>
                <w:szCs w:val="20"/>
              </w:rPr>
              <w:t xml:space="preserve">through </w:t>
            </w:r>
            <w:r w:rsidR="00335D8F">
              <w:rPr>
                <w:rFonts w:ascii="Verdana" w:hAnsi="Verdana"/>
                <w:sz w:val="20"/>
                <w:szCs w:val="20"/>
              </w:rPr>
              <w:t xml:space="preserve">evidence of </w:t>
            </w:r>
            <w:r w:rsidR="006A107E">
              <w:rPr>
                <w:rFonts w:ascii="Verdana" w:hAnsi="Verdana"/>
                <w:sz w:val="20"/>
                <w:szCs w:val="20"/>
              </w:rPr>
              <w:t>presentations, publications, grants and prizes</w:t>
            </w:r>
            <w:r w:rsidR="000821F2">
              <w:rPr>
                <w:rFonts w:ascii="Verdana" w:hAnsi="Verdana"/>
                <w:sz w:val="20"/>
                <w:szCs w:val="20"/>
              </w:rPr>
              <w:t>, outstanding references or other marks of academic approbation.</w:t>
            </w:r>
          </w:p>
          <w:p w14:paraId="6DABEA8A" w14:textId="2C6BE791" w:rsidR="006C7FA5" w:rsidRPr="00C22237" w:rsidRDefault="006C7FA5" w:rsidP="00AB4EA5">
            <w:pPr>
              <w:tabs>
                <w:tab w:val="left" w:pos="8931"/>
                <w:tab w:val="left" w:pos="9072"/>
              </w:tabs>
              <w:rPr>
                <w:rFonts w:ascii="Verdana" w:hAnsi="Verdana" w:cs="Times New Roman (Body CS)"/>
                <w:sz w:val="20"/>
                <w:szCs w:val="20"/>
              </w:rPr>
            </w:pPr>
          </w:p>
        </w:tc>
      </w:tr>
      <w:tr w:rsidR="00AB4EA5" w14:paraId="7ED40654" w14:textId="77777777" w:rsidTr="006C7FA5">
        <w:tc>
          <w:tcPr>
            <w:tcW w:w="1555" w:type="dxa"/>
          </w:tcPr>
          <w:p w14:paraId="0BB7E1D9" w14:textId="77777777" w:rsidR="00AB4EA5" w:rsidRPr="00C22237" w:rsidRDefault="00AB4EA5" w:rsidP="00AB4EA5">
            <w:pPr>
              <w:tabs>
                <w:tab w:val="left" w:pos="8931"/>
                <w:tab w:val="left" w:pos="9072"/>
              </w:tabs>
              <w:jc w:val="center"/>
              <w:rPr>
                <w:rFonts w:ascii="Verdana" w:hAnsi="Verdana" w:cs="Times New Roman (Body CS)"/>
                <w:sz w:val="20"/>
                <w:szCs w:val="20"/>
              </w:rPr>
            </w:pPr>
          </w:p>
          <w:p w14:paraId="71F78A8B" w14:textId="304DA549" w:rsidR="00AB4EA5" w:rsidRPr="00C22237" w:rsidRDefault="005434D1" w:rsidP="00AB4EA5">
            <w:pPr>
              <w:tabs>
                <w:tab w:val="left" w:pos="8931"/>
                <w:tab w:val="left" w:pos="9072"/>
              </w:tabs>
              <w:jc w:val="center"/>
              <w:rPr>
                <w:rFonts w:ascii="Verdana" w:hAnsi="Verdana" w:cs="Times New Roman (Body CS)"/>
                <w:sz w:val="20"/>
                <w:szCs w:val="20"/>
              </w:rPr>
            </w:pPr>
            <w:r>
              <w:rPr>
                <w:rFonts w:ascii="Verdana" w:hAnsi="Verdana" w:cs="Times New Roman (Body CS)"/>
                <w:sz w:val="20"/>
                <w:szCs w:val="20"/>
              </w:rPr>
              <w:t>S</w:t>
            </w:r>
            <w:r w:rsidR="00AB4EA5" w:rsidRPr="00C22237">
              <w:rPr>
                <w:rFonts w:ascii="Verdana" w:hAnsi="Verdana" w:cs="Times New Roman (Body CS)"/>
                <w:sz w:val="20"/>
                <w:szCs w:val="20"/>
              </w:rPr>
              <w:t>trength</w:t>
            </w:r>
            <w:r>
              <w:rPr>
                <w:rFonts w:ascii="Verdana" w:hAnsi="Verdana" w:cs="Times New Roman (Body CS)"/>
                <w:sz w:val="20"/>
                <w:szCs w:val="20"/>
              </w:rPr>
              <w:t xml:space="preserve"> and</w:t>
            </w:r>
            <w:r w:rsidR="00AB4EA5" w:rsidRPr="00C22237">
              <w:rPr>
                <w:rFonts w:ascii="Verdana" w:hAnsi="Verdana" w:cs="Times New Roman (Body CS)"/>
                <w:sz w:val="20"/>
                <w:szCs w:val="20"/>
              </w:rPr>
              <w:t xml:space="preserve"> originality of pitch</w:t>
            </w:r>
            <w:r>
              <w:rPr>
                <w:rFonts w:ascii="Verdana" w:hAnsi="Verdana" w:cs="Times New Roman (Body CS)"/>
                <w:sz w:val="20"/>
                <w:szCs w:val="20"/>
              </w:rPr>
              <w:t>.</w:t>
            </w:r>
          </w:p>
          <w:p w14:paraId="10A7EA71" w14:textId="5E049C93" w:rsidR="00AB4EA5" w:rsidRPr="00C22237" w:rsidRDefault="00AB4EA5" w:rsidP="00AB4EA5">
            <w:pPr>
              <w:tabs>
                <w:tab w:val="left" w:pos="8931"/>
                <w:tab w:val="left" w:pos="9072"/>
              </w:tabs>
              <w:jc w:val="center"/>
              <w:rPr>
                <w:rFonts w:ascii="Verdana" w:hAnsi="Verdana" w:cs="Times New Roman (Body CS)"/>
                <w:sz w:val="20"/>
                <w:szCs w:val="20"/>
              </w:rPr>
            </w:pPr>
          </w:p>
        </w:tc>
        <w:tc>
          <w:tcPr>
            <w:tcW w:w="8216" w:type="dxa"/>
          </w:tcPr>
          <w:p w14:paraId="0A4DDF8F" w14:textId="77777777" w:rsidR="006C7FA5" w:rsidRDefault="006C7FA5" w:rsidP="003565BF">
            <w:pPr>
              <w:tabs>
                <w:tab w:val="left" w:pos="8931"/>
                <w:tab w:val="left" w:pos="9072"/>
              </w:tabs>
              <w:rPr>
                <w:rFonts w:ascii="Verdana" w:hAnsi="Verdana"/>
                <w:sz w:val="20"/>
                <w:szCs w:val="20"/>
              </w:rPr>
            </w:pPr>
          </w:p>
          <w:p w14:paraId="1341493F" w14:textId="6990F4E0" w:rsidR="006C7FA5" w:rsidRPr="00C22237" w:rsidRDefault="003565BF" w:rsidP="006D3947">
            <w:pPr>
              <w:tabs>
                <w:tab w:val="left" w:pos="8931"/>
                <w:tab w:val="left" w:pos="9072"/>
              </w:tabs>
              <w:rPr>
                <w:rFonts w:ascii="Verdana" w:hAnsi="Verdana" w:cs="Times New Roman (Body CS)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The two-part general interest pitch </w:t>
            </w:r>
            <w:r w:rsidR="005434D1">
              <w:rPr>
                <w:rFonts w:ascii="Verdana" w:hAnsi="Verdana"/>
                <w:sz w:val="20"/>
                <w:szCs w:val="20"/>
              </w:rPr>
              <w:t xml:space="preserve">consisting of </w:t>
            </w:r>
            <w:r w:rsidR="005434D1">
              <w:rPr>
                <w:rFonts w:ascii="Verdana" w:eastAsiaTheme="minorHAnsi" w:hAnsi="Verdana"/>
                <w:sz w:val="20"/>
                <w:szCs w:val="20"/>
                <w:lang w:eastAsia="en-US"/>
              </w:rPr>
              <w:t xml:space="preserve">750 words and a short film of no more than </w:t>
            </w:r>
            <w:r w:rsidR="006A107E">
              <w:rPr>
                <w:rFonts w:ascii="Verdana" w:eastAsiaTheme="minorHAnsi" w:hAnsi="Verdana"/>
                <w:sz w:val="20"/>
                <w:szCs w:val="20"/>
                <w:lang w:eastAsia="en-US"/>
              </w:rPr>
              <w:t>2</w:t>
            </w:r>
            <w:r w:rsidR="005434D1">
              <w:rPr>
                <w:rFonts w:ascii="Verdana" w:eastAsiaTheme="minorHAnsi" w:hAnsi="Verdana"/>
                <w:sz w:val="20"/>
                <w:szCs w:val="20"/>
                <w:lang w:eastAsia="en-US"/>
              </w:rPr>
              <w:t xml:space="preserve"> minutes </w:t>
            </w:r>
            <w:r>
              <w:rPr>
                <w:rFonts w:ascii="Verdana" w:hAnsi="Verdana"/>
                <w:sz w:val="20"/>
                <w:szCs w:val="20"/>
              </w:rPr>
              <w:t>are the most relevant application materials for this section.</w:t>
            </w:r>
            <w:r w:rsidR="006C7FA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D3947">
              <w:rPr>
                <w:rFonts w:ascii="Verdana" w:hAnsi="Verdana"/>
                <w:sz w:val="20"/>
                <w:szCs w:val="20"/>
              </w:rPr>
              <w:t>These materials should</w:t>
            </w:r>
            <w:r w:rsidR="006C7FA5">
              <w:rPr>
                <w:rFonts w:ascii="Verdana" w:hAnsi="Verdana"/>
                <w:sz w:val="20"/>
                <w:szCs w:val="20"/>
              </w:rPr>
              <w:t xml:space="preserve"> identify and communicate the significance </w:t>
            </w:r>
            <w:r w:rsidR="006C7FA5" w:rsidRPr="00595366">
              <w:rPr>
                <w:rFonts w:ascii="Verdana" w:hAnsi="Verdana"/>
                <w:color w:val="000000" w:themeColor="text1"/>
                <w:sz w:val="20"/>
                <w:szCs w:val="20"/>
              </w:rPr>
              <w:t>and</w:t>
            </w:r>
            <w:r w:rsidR="006C7FA5">
              <w:rPr>
                <w:rFonts w:ascii="Verdana" w:hAnsi="Verdana"/>
                <w:sz w:val="20"/>
                <w:szCs w:val="20"/>
              </w:rPr>
              <w:t xml:space="preserve"> potential of the</w:t>
            </w:r>
            <w:r w:rsidR="006D3947">
              <w:rPr>
                <w:rFonts w:ascii="Verdana" w:hAnsi="Verdana"/>
                <w:sz w:val="20"/>
                <w:szCs w:val="20"/>
              </w:rPr>
              <w:t xml:space="preserve"> applicant’s</w:t>
            </w:r>
            <w:r w:rsidR="006C7FA5">
              <w:rPr>
                <w:rFonts w:ascii="Verdana" w:hAnsi="Verdana"/>
                <w:sz w:val="20"/>
                <w:szCs w:val="20"/>
              </w:rPr>
              <w:t xml:space="preserve"> research</w:t>
            </w:r>
            <w:r w:rsidR="006D3947">
              <w:rPr>
                <w:rFonts w:ascii="Verdana" w:hAnsi="Verdana"/>
                <w:sz w:val="20"/>
                <w:szCs w:val="20"/>
              </w:rPr>
              <w:t xml:space="preserve"> in a compelling way that can engage a general interest audience. Applicants who succeed in doing so will score highly in this section.</w:t>
            </w:r>
          </w:p>
          <w:p w14:paraId="14D9B3D1" w14:textId="4AA3AA7C" w:rsidR="00AB4EA5" w:rsidRPr="00C22237" w:rsidRDefault="00AB4EA5" w:rsidP="003565BF">
            <w:pPr>
              <w:tabs>
                <w:tab w:val="left" w:pos="8931"/>
                <w:tab w:val="left" w:pos="9072"/>
              </w:tabs>
              <w:rPr>
                <w:rFonts w:ascii="Verdana" w:hAnsi="Verdana" w:cs="Times New Roman (Body CS)"/>
                <w:sz w:val="20"/>
                <w:szCs w:val="20"/>
              </w:rPr>
            </w:pPr>
          </w:p>
        </w:tc>
      </w:tr>
      <w:tr w:rsidR="00AB4EA5" w14:paraId="7BC4710E" w14:textId="77777777" w:rsidTr="006C7FA5">
        <w:tc>
          <w:tcPr>
            <w:tcW w:w="1555" w:type="dxa"/>
          </w:tcPr>
          <w:p w14:paraId="740E25BA" w14:textId="77777777" w:rsidR="00AB4EA5" w:rsidRPr="00C22237" w:rsidRDefault="00AB4EA5" w:rsidP="00AB4EA5">
            <w:pPr>
              <w:tabs>
                <w:tab w:val="left" w:pos="8931"/>
                <w:tab w:val="left" w:pos="9072"/>
              </w:tabs>
              <w:jc w:val="center"/>
              <w:rPr>
                <w:rFonts w:ascii="Verdana" w:hAnsi="Verdana" w:cs="Times New Roman (Body CS)"/>
                <w:sz w:val="20"/>
                <w:szCs w:val="20"/>
              </w:rPr>
            </w:pPr>
          </w:p>
          <w:p w14:paraId="34D195F4" w14:textId="6B015D7B" w:rsidR="00AB4EA5" w:rsidRPr="00C22237" w:rsidRDefault="005434D1" w:rsidP="006C7FA5">
            <w:pPr>
              <w:tabs>
                <w:tab w:val="left" w:pos="8931"/>
                <w:tab w:val="left" w:pos="9072"/>
              </w:tabs>
              <w:jc w:val="center"/>
              <w:rPr>
                <w:rFonts w:ascii="Verdana" w:hAnsi="Verdana" w:cs="Times New Roman (Body CS)"/>
                <w:sz w:val="20"/>
                <w:szCs w:val="20"/>
              </w:rPr>
            </w:pPr>
            <w:r>
              <w:rPr>
                <w:rFonts w:ascii="Verdana" w:hAnsi="Verdana" w:cs="Times New Roman (Body CS)"/>
                <w:sz w:val="20"/>
                <w:szCs w:val="20"/>
              </w:rPr>
              <w:t>O</w:t>
            </w:r>
            <w:r w:rsidR="00AB4EA5">
              <w:rPr>
                <w:rFonts w:ascii="Verdana" w:hAnsi="Verdana" w:cs="Times New Roman (Body CS)"/>
                <w:sz w:val="20"/>
                <w:szCs w:val="20"/>
              </w:rPr>
              <w:t>utward</w:t>
            </w:r>
            <w:r w:rsidR="006C7FA5">
              <w:rPr>
                <w:rFonts w:ascii="Verdana" w:hAnsi="Verdana" w:cs="Times New Roman (Body CS)"/>
                <w:sz w:val="20"/>
                <w:szCs w:val="20"/>
              </w:rPr>
              <w:t>-</w:t>
            </w:r>
            <w:r w:rsidR="00AB4EA5">
              <w:rPr>
                <w:rFonts w:ascii="Verdana" w:hAnsi="Verdana" w:cs="Times New Roman (Body CS)"/>
                <w:sz w:val="20"/>
                <w:szCs w:val="20"/>
              </w:rPr>
              <w:t>looking</w:t>
            </w:r>
            <w:r w:rsidR="006C7FA5">
              <w:rPr>
                <w:rFonts w:ascii="Verdana" w:hAnsi="Verdana" w:cs="Times New Roman (Body CS)"/>
                <w:sz w:val="20"/>
                <w:szCs w:val="20"/>
              </w:rPr>
              <w:t>.</w:t>
            </w:r>
          </w:p>
          <w:p w14:paraId="2703C791" w14:textId="5DCA4BFA" w:rsidR="00AB4EA5" w:rsidRDefault="00AB4EA5" w:rsidP="00AB4EA5">
            <w:pPr>
              <w:tabs>
                <w:tab w:val="left" w:pos="8931"/>
                <w:tab w:val="left" w:pos="9072"/>
              </w:tabs>
              <w:jc w:val="center"/>
              <w:rPr>
                <w:rFonts w:ascii="Verdana" w:hAnsi="Verdana" w:cs="Times New Roman (Body CS)"/>
                <w:b/>
                <w:bCs/>
                <w:sz w:val="20"/>
                <w:szCs w:val="20"/>
              </w:rPr>
            </w:pPr>
          </w:p>
        </w:tc>
        <w:tc>
          <w:tcPr>
            <w:tcW w:w="8216" w:type="dxa"/>
          </w:tcPr>
          <w:p w14:paraId="7DAEB593" w14:textId="77777777" w:rsidR="006C7FA5" w:rsidRDefault="006C7FA5" w:rsidP="003565BF">
            <w:pPr>
              <w:tabs>
                <w:tab w:val="left" w:pos="8931"/>
                <w:tab w:val="left" w:pos="9072"/>
              </w:tabs>
              <w:rPr>
                <w:rFonts w:ascii="Verdana" w:hAnsi="Verdana"/>
                <w:sz w:val="20"/>
                <w:szCs w:val="20"/>
              </w:rPr>
            </w:pPr>
          </w:p>
          <w:p w14:paraId="733BA3B0" w14:textId="48A8C012" w:rsidR="00AB4EA5" w:rsidRDefault="003565BF" w:rsidP="003565BF">
            <w:pPr>
              <w:tabs>
                <w:tab w:val="left" w:pos="8931"/>
                <w:tab w:val="left" w:pos="9072"/>
              </w:tabs>
              <w:rPr>
                <w:rFonts w:ascii="Verdana" w:hAnsi="Verdana" w:cs="Times New Roman (Body CS)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The two-part general interest pitch </w:t>
            </w:r>
            <w:r w:rsidR="005434D1">
              <w:rPr>
                <w:rFonts w:ascii="Verdana" w:hAnsi="Verdana"/>
                <w:sz w:val="20"/>
                <w:szCs w:val="20"/>
              </w:rPr>
              <w:t xml:space="preserve">consisting of </w:t>
            </w:r>
            <w:r w:rsidR="005434D1">
              <w:rPr>
                <w:rFonts w:ascii="Verdana" w:eastAsiaTheme="minorHAnsi" w:hAnsi="Verdana"/>
                <w:sz w:val="20"/>
                <w:szCs w:val="20"/>
                <w:lang w:eastAsia="en-US"/>
              </w:rPr>
              <w:t xml:space="preserve">750 words and a short film of no more than </w:t>
            </w:r>
            <w:r w:rsidR="006A107E">
              <w:rPr>
                <w:rFonts w:ascii="Verdana" w:eastAsiaTheme="minorHAnsi" w:hAnsi="Verdana"/>
                <w:sz w:val="20"/>
                <w:szCs w:val="20"/>
                <w:lang w:eastAsia="en-US"/>
              </w:rPr>
              <w:t>2</w:t>
            </w:r>
            <w:r w:rsidR="005434D1">
              <w:rPr>
                <w:rFonts w:ascii="Verdana" w:eastAsiaTheme="minorHAnsi" w:hAnsi="Verdana"/>
                <w:sz w:val="20"/>
                <w:szCs w:val="20"/>
                <w:lang w:eastAsia="en-US"/>
              </w:rPr>
              <w:t xml:space="preserve"> minutes</w:t>
            </w:r>
            <w:r w:rsidR="005434D1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are the most relevant application materials for this section. </w:t>
            </w:r>
            <w:r w:rsidR="00AB4EA5" w:rsidRPr="003565BF">
              <w:rPr>
                <w:rFonts w:ascii="Verdana" w:hAnsi="Verdana" w:cs="Times New Roman (Body CS)"/>
                <w:sz w:val="20"/>
                <w:szCs w:val="20"/>
              </w:rPr>
              <w:t xml:space="preserve">The Royal </w:t>
            </w:r>
            <w:r w:rsidR="0012640D">
              <w:rPr>
                <w:rFonts w:ascii="Verdana" w:hAnsi="Verdana" w:cs="Times New Roman (Body CS)"/>
                <w:sz w:val="20"/>
                <w:szCs w:val="20"/>
              </w:rPr>
              <w:t>I</w:t>
            </w:r>
            <w:r w:rsidR="00AB4EA5" w:rsidRPr="003565BF">
              <w:rPr>
                <w:rFonts w:ascii="Verdana" w:hAnsi="Verdana" w:cs="Times New Roman (Body CS)"/>
                <w:sz w:val="20"/>
                <w:szCs w:val="20"/>
              </w:rPr>
              <w:t>nstitution has a strong existing institutional history</w:t>
            </w:r>
            <w:r>
              <w:rPr>
                <w:rFonts w:ascii="Verdana" w:hAnsi="Verdana" w:cs="Times New Roman (Body CS)"/>
                <w:sz w:val="20"/>
                <w:szCs w:val="20"/>
              </w:rPr>
              <w:t xml:space="preserve">. Applications which do not duplicate this existing work but </w:t>
            </w:r>
            <w:r w:rsidR="005434D1">
              <w:rPr>
                <w:rFonts w:ascii="Verdana" w:hAnsi="Verdana" w:cs="Times New Roman (Body CS)"/>
                <w:sz w:val="20"/>
                <w:szCs w:val="20"/>
              </w:rPr>
              <w:t xml:space="preserve">are </w:t>
            </w:r>
            <w:r>
              <w:rPr>
                <w:rFonts w:ascii="Verdana" w:hAnsi="Verdana" w:cs="Times New Roman (Body CS)"/>
                <w:sz w:val="20"/>
                <w:szCs w:val="20"/>
              </w:rPr>
              <w:t>outward</w:t>
            </w:r>
            <w:r w:rsidR="006C7FA5">
              <w:rPr>
                <w:rFonts w:ascii="Verdana" w:hAnsi="Verdana" w:cs="Times New Roman (Body CS)"/>
                <w:sz w:val="20"/>
                <w:szCs w:val="20"/>
              </w:rPr>
              <w:t>-</w:t>
            </w:r>
            <w:r>
              <w:rPr>
                <w:rFonts w:ascii="Verdana" w:hAnsi="Verdana" w:cs="Times New Roman (Body CS)"/>
                <w:sz w:val="20"/>
                <w:szCs w:val="20"/>
              </w:rPr>
              <w:t xml:space="preserve">looking </w:t>
            </w:r>
            <w:r w:rsidR="005434D1">
              <w:rPr>
                <w:rFonts w:ascii="Verdana" w:hAnsi="Verdana" w:cs="Times New Roman (Body CS)"/>
                <w:sz w:val="20"/>
                <w:szCs w:val="20"/>
              </w:rPr>
              <w:t>and able to attract and engage new</w:t>
            </w:r>
            <w:r w:rsidR="006C7FA5">
              <w:rPr>
                <w:rFonts w:ascii="Verdana" w:hAnsi="Verdana" w:cs="Times New Roman (Body CS)"/>
                <w:sz w:val="20"/>
                <w:szCs w:val="20"/>
              </w:rPr>
              <w:t>,</w:t>
            </w:r>
            <w:r w:rsidR="005434D1">
              <w:rPr>
                <w:rFonts w:ascii="Verdana" w:hAnsi="Verdana" w:cs="Times New Roman (Body CS)"/>
                <w:sz w:val="20"/>
                <w:szCs w:val="20"/>
              </w:rPr>
              <w:t xml:space="preserve"> general interest audiences from diverse groups </w:t>
            </w:r>
            <w:r w:rsidR="005434D1" w:rsidRPr="006B040F">
              <w:rPr>
                <w:rFonts w:ascii="Verdana" w:hAnsi="Verdana"/>
                <w:sz w:val="20"/>
                <w:szCs w:val="20"/>
              </w:rPr>
              <w:t xml:space="preserve">to the history of science; history of the Royal </w:t>
            </w:r>
            <w:r w:rsidR="0012640D">
              <w:rPr>
                <w:rFonts w:ascii="Verdana" w:hAnsi="Verdana"/>
                <w:sz w:val="20"/>
                <w:szCs w:val="20"/>
              </w:rPr>
              <w:t>I</w:t>
            </w:r>
            <w:r w:rsidR="005434D1" w:rsidRPr="006B040F">
              <w:rPr>
                <w:rFonts w:ascii="Verdana" w:hAnsi="Verdana"/>
                <w:sz w:val="20"/>
                <w:szCs w:val="20"/>
              </w:rPr>
              <w:t>nstitution; or heritage conservation</w:t>
            </w:r>
            <w:r w:rsidR="005434D1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5434D1">
              <w:rPr>
                <w:rFonts w:ascii="Verdana" w:hAnsi="Verdana" w:cs="Times New Roman (Body CS)"/>
                <w:sz w:val="20"/>
                <w:szCs w:val="20"/>
              </w:rPr>
              <w:t xml:space="preserve">will score highly in this section. </w:t>
            </w:r>
          </w:p>
          <w:p w14:paraId="570BD3AD" w14:textId="0E47CACC" w:rsidR="006C7FA5" w:rsidRDefault="006C7FA5" w:rsidP="003565BF">
            <w:pPr>
              <w:tabs>
                <w:tab w:val="left" w:pos="8931"/>
                <w:tab w:val="left" w:pos="9072"/>
              </w:tabs>
              <w:rPr>
                <w:rFonts w:ascii="Verdana" w:hAnsi="Verdana" w:cs="Times New Roman (Body CS)"/>
                <w:b/>
                <w:bCs/>
                <w:sz w:val="20"/>
                <w:szCs w:val="20"/>
              </w:rPr>
            </w:pPr>
          </w:p>
        </w:tc>
      </w:tr>
    </w:tbl>
    <w:p w14:paraId="31E788FE" w14:textId="77777777" w:rsidR="00036DDA" w:rsidRPr="00B13838" w:rsidRDefault="00036DDA" w:rsidP="00800743">
      <w:pPr>
        <w:tabs>
          <w:tab w:val="left" w:pos="8931"/>
          <w:tab w:val="left" w:pos="9072"/>
        </w:tabs>
        <w:jc w:val="center"/>
        <w:rPr>
          <w:rFonts w:ascii="Verdana" w:hAnsi="Verdana" w:cs="Times New Roman (Body CS)"/>
          <w:b/>
          <w:bCs/>
          <w:sz w:val="20"/>
          <w:szCs w:val="20"/>
        </w:rPr>
      </w:pPr>
    </w:p>
    <w:p w14:paraId="4834B56A" w14:textId="33138C22" w:rsidR="00B02E13" w:rsidRPr="00B02E13" w:rsidRDefault="0077022B" w:rsidP="0032382D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sectPr w:rsidR="00B02E13" w:rsidRPr="00B02E13" w:rsidSect="0087635D">
      <w:headerReference w:type="default" r:id="rId8"/>
      <w:type w:val="continuous"/>
      <w:pgSz w:w="11906" w:h="16838"/>
      <w:pgMar w:top="720" w:right="991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96E46" w14:textId="77777777" w:rsidR="009B1997" w:rsidRDefault="009B1997" w:rsidP="004E2B94">
      <w:r>
        <w:separator/>
      </w:r>
    </w:p>
  </w:endnote>
  <w:endnote w:type="continuationSeparator" w:id="0">
    <w:p w14:paraId="63DE6B40" w14:textId="77777777" w:rsidR="009B1997" w:rsidRDefault="009B1997" w:rsidP="004E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52BBA2" w14:textId="77777777" w:rsidR="009B1997" w:rsidRDefault="009B1997" w:rsidP="004E2B94">
      <w:r>
        <w:separator/>
      </w:r>
    </w:p>
  </w:footnote>
  <w:footnote w:type="continuationSeparator" w:id="0">
    <w:p w14:paraId="10F6D68B" w14:textId="77777777" w:rsidR="009B1997" w:rsidRDefault="009B1997" w:rsidP="004E2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398CA" w14:textId="77777777" w:rsidR="00F83C0F" w:rsidRDefault="00F83C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2698E"/>
    <w:multiLevelType w:val="hybridMultilevel"/>
    <w:tmpl w:val="594AF6C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AB41FDE"/>
    <w:multiLevelType w:val="hybridMultilevel"/>
    <w:tmpl w:val="1CA2D8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27CC1"/>
    <w:multiLevelType w:val="hybridMultilevel"/>
    <w:tmpl w:val="8292B9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1D1B14"/>
    <w:multiLevelType w:val="hybridMultilevel"/>
    <w:tmpl w:val="F2728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A3515"/>
    <w:multiLevelType w:val="hybridMultilevel"/>
    <w:tmpl w:val="6EF66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801F3"/>
    <w:multiLevelType w:val="hybridMultilevel"/>
    <w:tmpl w:val="F5546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86781"/>
    <w:multiLevelType w:val="hybridMultilevel"/>
    <w:tmpl w:val="3D844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37076"/>
    <w:multiLevelType w:val="hybridMultilevel"/>
    <w:tmpl w:val="7262B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3053D4"/>
    <w:multiLevelType w:val="hybridMultilevel"/>
    <w:tmpl w:val="6A524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566180"/>
    <w:multiLevelType w:val="hybridMultilevel"/>
    <w:tmpl w:val="7228F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4417B"/>
    <w:multiLevelType w:val="hybridMultilevel"/>
    <w:tmpl w:val="542EC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B2606"/>
    <w:multiLevelType w:val="hybridMultilevel"/>
    <w:tmpl w:val="FDBE1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9957BC"/>
    <w:multiLevelType w:val="hybridMultilevel"/>
    <w:tmpl w:val="3FD4F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11"/>
  </w:num>
  <w:num w:numId="5">
    <w:abstractNumId w:val="7"/>
  </w:num>
  <w:num w:numId="6">
    <w:abstractNumId w:val="12"/>
  </w:num>
  <w:num w:numId="7">
    <w:abstractNumId w:val="10"/>
  </w:num>
  <w:num w:numId="8">
    <w:abstractNumId w:val="3"/>
  </w:num>
  <w:num w:numId="9">
    <w:abstractNumId w:val="0"/>
  </w:num>
  <w:num w:numId="10">
    <w:abstractNumId w:val="5"/>
  </w:num>
  <w:num w:numId="11">
    <w:abstractNumId w:val="4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689"/>
    <w:rsid w:val="00002728"/>
    <w:rsid w:val="00036DDA"/>
    <w:rsid w:val="0004238F"/>
    <w:rsid w:val="00043DD1"/>
    <w:rsid w:val="00052FB8"/>
    <w:rsid w:val="00054A0C"/>
    <w:rsid w:val="00054ABF"/>
    <w:rsid w:val="0005545A"/>
    <w:rsid w:val="00055D20"/>
    <w:rsid w:val="00077902"/>
    <w:rsid w:val="00081F1E"/>
    <w:rsid w:val="000821F2"/>
    <w:rsid w:val="0009786B"/>
    <w:rsid w:val="000B4A1C"/>
    <w:rsid w:val="000F2846"/>
    <w:rsid w:val="000F2A00"/>
    <w:rsid w:val="00116603"/>
    <w:rsid w:val="00125D7C"/>
    <w:rsid w:val="0012640D"/>
    <w:rsid w:val="00130439"/>
    <w:rsid w:val="00132C81"/>
    <w:rsid w:val="0014466B"/>
    <w:rsid w:val="0014578E"/>
    <w:rsid w:val="00186E88"/>
    <w:rsid w:val="001B219D"/>
    <w:rsid w:val="001B3A9D"/>
    <w:rsid w:val="001C2775"/>
    <w:rsid w:val="001E3004"/>
    <w:rsid w:val="001F384E"/>
    <w:rsid w:val="0020231C"/>
    <w:rsid w:val="002031A3"/>
    <w:rsid w:val="002322AB"/>
    <w:rsid w:val="00241FB7"/>
    <w:rsid w:val="0025293C"/>
    <w:rsid w:val="002634A9"/>
    <w:rsid w:val="00276C18"/>
    <w:rsid w:val="002835C8"/>
    <w:rsid w:val="00295E5F"/>
    <w:rsid w:val="002A3C58"/>
    <w:rsid w:val="002A3F2F"/>
    <w:rsid w:val="002C166F"/>
    <w:rsid w:val="00310E38"/>
    <w:rsid w:val="0032382D"/>
    <w:rsid w:val="00335D8F"/>
    <w:rsid w:val="00340735"/>
    <w:rsid w:val="003565BF"/>
    <w:rsid w:val="00367366"/>
    <w:rsid w:val="003741CD"/>
    <w:rsid w:val="00375F3A"/>
    <w:rsid w:val="00391BFB"/>
    <w:rsid w:val="003A2427"/>
    <w:rsid w:val="003C1D39"/>
    <w:rsid w:val="003F2912"/>
    <w:rsid w:val="004066C3"/>
    <w:rsid w:val="004430BC"/>
    <w:rsid w:val="0046429C"/>
    <w:rsid w:val="00467CD2"/>
    <w:rsid w:val="004837AB"/>
    <w:rsid w:val="004A08F3"/>
    <w:rsid w:val="004A4FD5"/>
    <w:rsid w:val="004C6BC4"/>
    <w:rsid w:val="004D0DD2"/>
    <w:rsid w:val="004D2E35"/>
    <w:rsid w:val="004E22E3"/>
    <w:rsid w:val="004E2B94"/>
    <w:rsid w:val="004F0689"/>
    <w:rsid w:val="004F5182"/>
    <w:rsid w:val="004F6303"/>
    <w:rsid w:val="005011AD"/>
    <w:rsid w:val="0052031B"/>
    <w:rsid w:val="005434D1"/>
    <w:rsid w:val="00554B47"/>
    <w:rsid w:val="00556F55"/>
    <w:rsid w:val="00571B3E"/>
    <w:rsid w:val="00574A4F"/>
    <w:rsid w:val="00575A66"/>
    <w:rsid w:val="005822A5"/>
    <w:rsid w:val="005823DE"/>
    <w:rsid w:val="0059223C"/>
    <w:rsid w:val="00595366"/>
    <w:rsid w:val="005D46CD"/>
    <w:rsid w:val="005E3FC6"/>
    <w:rsid w:val="005F29B7"/>
    <w:rsid w:val="0061170A"/>
    <w:rsid w:val="0062066A"/>
    <w:rsid w:val="00623859"/>
    <w:rsid w:val="006324AC"/>
    <w:rsid w:val="006726ED"/>
    <w:rsid w:val="00672C81"/>
    <w:rsid w:val="0068211F"/>
    <w:rsid w:val="00685680"/>
    <w:rsid w:val="00692D7D"/>
    <w:rsid w:val="006943AA"/>
    <w:rsid w:val="006A107E"/>
    <w:rsid w:val="006B040F"/>
    <w:rsid w:val="006C0B94"/>
    <w:rsid w:val="006C2BC2"/>
    <w:rsid w:val="006C7FA5"/>
    <w:rsid w:val="006D3770"/>
    <w:rsid w:val="006D37C3"/>
    <w:rsid w:val="006D3947"/>
    <w:rsid w:val="006F6F7E"/>
    <w:rsid w:val="00711F57"/>
    <w:rsid w:val="0071421B"/>
    <w:rsid w:val="0072337F"/>
    <w:rsid w:val="007337EB"/>
    <w:rsid w:val="00733EAD"/>
    <w:rsid w:val="007403E4"/>
    <w:rsid w:val="00750A05"/>
    <w:rsid w:val="00763084"/>
    <w:rsid w:val="00764D3C"/>
    <w:rsid w:val="00764FD0"/>
    <w:rsid w:val="0077022B"/>
    <w:rsid w:val="00773F75"/>
    <w:rsid w:val="00781A80"/>
    <w:rsid w:val="00783C0A"/>
    <w:rsid w:val="007A0237"/>
    <w:rsid w:val="007B4267"/>
    <w:rsid w:val="007B7CD7"/>
    <w:rsid w:val="00800743"/>
    <w:rsid w:val="00801DA2"/>
    <w:rsid w:val="008175E6"/>
    <w:rsid w:val="008258C6"/>
    <w:rsid w:val="00837A98"/>
    <w:rsid w:val="0085769A"/>
    <w:rsid w:val="008615DE"/>
    <w:rsid w:val="0087635D"/>
    <w:rsid w:val="008837D3"/>
    <w:rsid w:val="008A3D7A"/>
    <w:rsid w:val="008B607A"/>
    <w:rsid w:val="008E0478"/>
    <w:rsid w:val="008E5423"/>
    <w:rsid w:val="008F4D4E"/>
    <w:rsid w:val="008F65CC"/>
    <w:rsid w:val="008F6751"/>
    <w:rsid w:val="00933A78"/>
    <w:rsid w:val="00941E8F"/>
    <w:rsid w:val="00943E5B"/>
    <w:rsid w:val="00945668"/>
    <w:rsid w:val="00957919"/>
    <w:rsid w:val="00973A39"/>
    <w:rsid w:val="009830BA"/>
    <w:rsid w:val="00990F5F"/>
    <w:rsid w:val="009B1997"/>
    <w:rsid w:val="009C4763"/>
    <w:rsid w:val="009E13E5"/>
    <w:rsid w:val="00A052B5"/>
    <w:rsid w:val="00A06A7F"/>
    <w:rsid w:val="00A26DBB"/>
    <w:rsid w:val="00A30FF9"/>
    <w:rsid w:val="00A9719F"/>
    <w:rsid w:val="00AA6BB6"/>
    <w:rsid w:val="00AB4EA5"/>
    <w:rsid w:val="00AB5FEF"/>
    <w:rsid w:val="00AD42AA"/>
    <w:rsid w:val="00B00C7B"/>
    <w:rsid w:val="00B02E13"/>
    <w:rsid w:val="00B13838"/>
    <w:rsid w:val="00B2641C"/>
    <w:rsid w:val="00B37BCE"/>
    <w:rsid w:val="00B66135"/>
    <w:rsid w:val="00B76B71"/>
    <w:rsid w:val="00B82B6A"/>
    <w:rsid w:val="00B84BA9"/>
    <w:rsid w:val="00BA0737"/>
    <w:rsid w:val="00BC1C12"/>
    <w:rsid w:val="00BC6FF1"/>
    <w:rsid w:val="00BE7924"/>
    <w:rsid w:val="00C22237"/>
    <w:rsid w:val="00C40DBF"/>
    <w:rsid w:val="00C456BC"/>
    <w:rsid w:val="00C57FEA"/>
    <w:rsid w:val="00C74B97"/>
    <w:rsid w:val="00C765D8"/>
    <w:rsid w:val="00C8405B"/>
    <w:rsid w:val="00D203A2"/>
    <w:rsid w:val="00D2260E"/>
    <w:rsid w:val="00D23697"/>
    <w:rsid w:val="00D56215"/>
    <w:rsid w:val="00D65092"/>
    <w:rsid w:val="00D76A5D"/>
    <w:rsid w:val="00D76ECD"/>
    <w:rsid w:val="00D82748"/>
    <w:rsid w:val="00D84CD3"/>
    <w:rsid w:val="00D91E4D"/>
    <w:rsid w:val="00DD7950"/>
    <w:rsid w:val="00DF2280"/>
    <w:rsid w:val="00DF37E1"/>
    <w:rsid w:val="00E00039"/>
    <w:rsid w:val="00E0722E"/>
    <w:rsid w:val="00E16A64"/>
    <w:rsid w:val="00E17DCF"/>
    <w:rsid w:val="00E32C19"/>
    <w:rsid w:val="00E44B55"/>
    <w:rsid w:val="00E46D6C"/>
    <w:rsid w:val="00E56615"/>
    <w:rsid w:val="00E6351A"/>
    <w:rsid w:val="00E65133"/>
    <w:rsid w:val="00E654D1"/>
    <w:rsid w:val="00E76C83"/>
    <w:rsid w:val="00E81119"/>
    <w:rsid w:val="00E84EC9"/>
    <w:rsid w:val="00E87E90"/>
    <w:rsid w:val="00E913D4"/>
    <w:rsid w:val="00EA5805"/>
    <w:rsid w:val="00EB5804"/>
    <w:rsid w:val="00ED0192"/>
    <w:rsid w:val="00EE3E69"/>
    <w:rsid w:val="00F02149"/>
    <w:rsid w:val="00F039CD"/>
    <w:rsid w:val="00F33AB3"/>
    <w:rsid w:val="00F5107F"/>
    <w:rsid w:val="00F5589C"/>
    <w:rsid w:val="00F60398"/>
    <w:rsid w:val="00F63064"/>
    <w:rsid w:val="00F6352D"/>
    <w:rsid w:val="00F644CD"/>
    <w:rsid w:val="00F83C0F"/>
    <w:rsid w:val="00F94157"/>
    <w:rsid w:val="00FA1546"/>
    <w:rsid w:val="00FA1B0B"/>
    <w:rsid w:val="00FD07CD"/>
    <w:rsid w:val="00FE5DD5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5D09F"/>
  <w15:chartTrackingRefBased/>
  <w15:docId w15:val="{FA970227-AC38-4D27-AF94-E3CCC09F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68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E2B9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E2B94"/>
  </w:style>
  <w:style w:type="paragraph" w:styleId="Footer">
    <w:name w:val="footer"/>
    <w:basedOn w:val="Normal"/>
    <w:link w:val="FooterChar"/>
    <w:uiPriority w:val="99"/>
    <w:unhideWhenUsed/>
    <w:rsid w:val="004E2B9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E2B94"/>
  </w:style>
  <w:style w:type="character" w:customStyle="1" w:styleId="hgkelc">
    <w:name w:val="hgkelc"/>
    <w:basedOn w:val="DefaultParagraphFont"/>
    <w:rsid w:val="008E5423"/>
  </w:style>
  <w:style w:type="character" w:styleId="Hyperlink">
    <w:name w:val="Hyperlink"/>
    <w:basedOn w:val="DefaultParagraphFont"/>
    <w:uiPriority w:val="99"/>
    <w:unhideWhenUsed/>
    <w:rsid w:val="00711F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1F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6F7E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61170A"/>
  </w:style>
  <w:style w:type="table" w:styleId="TableGrid">
    <w:name w:val="Table Grid"/>
    <w:basedOn w:val="TableNormal"/>
    <w:uiPriority w:val="39"/>
    <w:rsid w:val="00F83C0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83C0F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3C0F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83C0F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FA1B0B"/>
  </w:style>
  <w:style w:type="character" w:styleId="CommentReference">
    <w:name w:val="annotation reference"/>
    <w:basedOn w:val="DefaultParagraphFont"/>
    <w:uiPriority w:val="99"/>
    <w:semiHidden/>
    <w:unhideWhenUsed/>
    <w:rsid w:val="00764F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4F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4FD0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4F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4FD0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F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FD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markedcontent">
    <w:name w:val="markedcontent"/>
    <w:basedOn w:val="DefaultParagraphFont"/>
    <w:rsid w:val="001B2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5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Forgan</dc:creator>
  <cp:keywords/>
  <dc:description/>
  <cp:lastModifiedBy>Jennifer Bulstrode</cp:lastModifiedBy>
  <cp:revision>22</cp:revision>
  <cp:lastPrinted>2020-12-11T17:56:00Z</cp:lastPrinted>
  <dcterms:created xsi:type="dcterms:W3CDTF">2021-06-12T12:49:00Z</dcterms:created>
  <dcterms:modified xsi:type="dcterms:W3CDTF">2021-06-24T20:44:00Z</dcterms:modified>
</cp:coreProperties>
</file>